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305B" w14:textId="0FC3E000" w:rsidR="00E65FB3" w:rsidRPr="003E595D" w:rsidRDefault="003E595D" w:rsidP="00350E40">
      <w:pPr>
        <w:ind w:right="-1"/>
        <w:jc w:val="both"/>
        <w:rPr>
          <w:rFonts w:ascii="Calibri" w:hAnsi="Calibri"/>
          <w:b/>
          <w:bCs/>
          <w:sz w:val="22"/>
        </w:rPr>
      </w:pPr>
      <w:r w:rsidRPr="003E595D">
        <w:rPr>
          <w:rFonts w:ascii="Calibri" w:hAnsi="Calibri"/>
          <w:b/>
          <w:bCs/>
          <w:sz w:val="22"/>
        </w:rPr>
        <w:t xml:space="preserve">Clina OPTIPANEL 15 </w:t>
      </w:r>
      <w:r>
        <w:rPr>
          <w:rFonts w:ascii="Calibri" w:hAnsi="Calibri"/>
          <w:b/>
          <w:bCs/>
          <w:sz w:val="22"/>
        </w:rPr>
        <w:t>sind</w:t>
      </w:r>
      <w:r w:rsidRPr="003E595D">
        <w:rPr>
          <w:rFonts w:ascii="Calibri" w:hAnsi="Calibri"/>
          <w:b/>
          <w:bCs/>
          <w:sz w:val="22"/>
        </w:rPr>
        <w:t xml:space="preserve"> vorgefertigte Gipskartonplatte</w:t>
      </w:r>
      <w:r>
        <w:rPr>
          <w:rFonts w:ascii="Calibri" w:hAnsi="Calibri"/>
          <w:b/>
          <w:bCs/>
          <w:sz w:val="22"/>
        </w:rPr>
        <w:t>n</w:t>
      </w:r>
      <w:r w:rsidRPr="003E595D">
        <w:rPr>
          <w:rFonts w:ascii="Calibri" w:hAnsi="Calibri"/>
          <w:b/>
          <w:bCs/>
          <w:sz w:val="22"/>
        </w:rPr>
        <w:t xml:space="preserve"> </w:t>
      </w:r>
      <w:r w:rsidR="004F73E5">
        <w:rPr>
          <w:rFonts w:ascii="Calibri" w:hAnsi="Calibri"/>
          <w:b/>
          <w:bCs/>
          <w:sz w:val="22"/>
        </w:rPr>
        <w:t xml:space="preserve">(ungelocht) </w:t>
      </w:r>
      <w:r w:rsidRPr="003E595D">
        <w:rPr>
          <w:rFonts w:ascii="Calibri" w:hAnsi="Calibri"/>
          <w:b/>
          <w:bCs/>
          <w:sz w:val="22"/>
        </w:rPr>
        <w:t xml:space="preserve">mit integrierter Kapillarrohrmatte. </w:t>
      </w:r>
      <w:r>
        <w:rPr>
          <w:rFonts w:ascii="Calibri" w:hAnsi="Calibri"/>
          <w:b/>
          <w:bCs/>
          <w:sz w:val="22"/>
        </w:rPr>
        <w:t>Sie</w:t>
      </w:r>
      <w:r w:rsidRPr="003E595D">
        <w:rPr>
          <w:rFonts w:ascii="Calibri" w:hAnsi="Calibri"/>
          <w:b/>
          <w:bCs/>
          <w:sz w:val="22"/>
        </w:rPr>
        <w:t xml:space="preserve"> werden an </w:t>
      </w:r>
      <w:r w:rsidR="004F73E5">
        <w:rPr>
          <w:rFonts w:ascii="Calibri" w:hAnsi="Calibri"/>
          <w:b/>
          <w:bCs/>
          <w:sz w:val="22"/>
        </w:rPr>
        <w:t>ein Ständerwerk</w:t>
      </w:r>
      <w:r w:rsidRPr="003E595D">
        <w:rPr>
          <w:rFonts w:ascii="Calibri" w:hAnsi="Calibri"/>
          <w:b/>
          <w:bCs/>
          <w:sz w:val="22"/>
        </w:rPr>
        <w:t xml:space="preserve"> angeschraubt. Sichtseitig entsteht eine Gipskarton</w:t>
      </w:r>
      <w:r w:rsidR="004F73E5">
        <w:rPr>
          <w:rFonts w:ascii="Calibri" w:hAnsi="Calibri"/>
          <w:b/>
          <w:bCs/>
          <w:sz w:val="22"/>
        </w:rPr>
        <w:t>wand</w:t>
      </w:r>
      <w:r w:rsidRPr="003E595D">
        <w:rPr>
          <w:rFonts w:ascii="Calibri" w:hAnsi="Calibri"/>
          <w:b/>
          <w:bCs/>
          <w:sz w:val="22"/>
        </w:rPr>
        <w:t xml:space="preserve"> zur Abführung bzw. Zuführung sensibler Wärmelasten </w:t>
      </w:r>
      <w:r w:rsidR="0020711A" w:rsidRPr="003E595D">
        <w:rPr>
          <w:rFonts w:ascii="Calibri" w:hAnsi="Calibri"/>
          <w:b/>
          <w:bCs/>
          <w:sz w:val="22"/>
        </w:rPr>
        <w:t>größtenteils über Strahlung, teilweise auch über Konvektion.</w:t>
      </w:r>
    </w:p>
    <w:p w14:paraId="6A42FC7C" w14:textId="23B91EFF" w:rsidR="00D02BE0" w:rsidRDefault="00D02BE0" w:rsidP="00350E40">
      <w:pPr>
        <w:ind w:right="-1"/>
        <w:jc w:val="both"/>
        <w:rPr>
          <w:rFonts w:ascii="Calibri" w:hAnsi="Calibri"/>
          <w:sz w:val="22"/>
        </w:rPr>
      </w:pPr>
    </w:p>
    <w:p w14:paraId="00AC9F64" w14:textId="410E6D01" w:rsidR="000356A7" w:rsidRDefault="00D02BE0" w:rsidP="00350E40">
      <w:pPr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Innerhalb eines Raumes</w:t>
      </w:r>
      <w:r w:rsidR="000356A7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sind </w:t>
      </w:r>
      <w:r w:rsidR="001D5874">
        <w:rPr>
          <w:rFonts w:ascii="Calibri" w:hAnsi="Calibri"/>
          <w:sz w:val="22"/>
        </w:rPr>
        <w:t>mehrere</w:t>
      </w:r>
      <w:r>
        <w:rPr>
          <w:rFonts w:ascii="Calibri" w:hAnsi="Calibri"/>
          <w:sz w:val="22"/>
        </w:rPr>
        <w:t xml:space="preserve"> OPTIPANEL </w:t>
      </w:r>
      <w:r w:rsidR="001D5874">
        <w:rPr>
          <w:rFonts w:ascii="Calibri" w:hAnsi="Calibri"/>
          <w:sz w:val="22"/>
        </w:rPr>
        <w:t>in</w:t>
      </w:r>
      <w:r w:rsidR="000356A7">
        <w:rPr>
          <w:rFonts w:ascii="Calibri" w:hAnsi="Calibri"/>
          <w:sz w:val="22"/>
        </w:rPr>
        <w:t xml:space="preserve"> Reihe</w:t>
      </w:r>
      <w:r w:rsidR="001D5874">
        <w:rPr>
          <w:rFonts w:ascii="Calibri" w:hAnsi="Calibri"/>
          <w:sz w:val="22"/>
        </w:rPr>
        <w:t xml:space="preserve"> </w:t>
      </w:r>
      <w:r w:rsidR="000356A7">
        <w:rPr>
          <w:rFonts w:ascii="Calibri" w:hAnsi="Calibri"/>
          <w:sz w:val="22"/>
        </w:rPr>
        <w:t>anschließbar.</w:t>
      </w:r>
      <w:r w:rsidR="00E97229">
        <w:rPr>
          <w:rFonts w:ascii="Calibri" w:hAnsi="Calibri"/>
          <w:sz w:val="22"/>
        </w:rPr>
        <w:t xml:space="preserve"> </w:t>
      </w:r>
    </w:p>
    <w:p w14:paraId="777CBA24" w14:textId="39181BCE" w:rsidR="00D02BE0" w:rsidRDefault="000356A7" w:rsidP="00350E40">
      <w:pPr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U</w:t>
      </w:r>
      <w:r w:rsidR="00D02BE0">
        <w:rPr>
          <w:rFonts w:ascii="Calibri" w:hAnsi="Calibri"/>
          <w:sz w:val="22"/>
        </w:rPr>
        <w:t xml:space="preserve">m eine </w:t>
      </w:r>
      <w:r>
        <w:rPr>
          <w:rFonts w:ascii="Calibri" w:hAnsi="Calibri"/>
          <w:sz w:val="22"/>
        </w:rPr>
        <w:t>gleichmäßige</w:t>
      </w:r>
      <w:r w:rsidR="00D02BE0">
        <w:rPr>
          <w:rFonts w:ascii="Calibri" w:hAnsi="Calibri"/>
          <w:sz w:val="22"/>
        </w:rPr>
        <w:t xml:space="preserve"> D</w:t>
      </w:r>
      <w:r w:rsidR="001D5874">
        <w:rPr>
          <w:rFonts w:ascii="Calibri" w:hAnsi="Calibri"/>
          <w:sz w:val="22"/>
        </w:rPr>
        <w:t>urchströmung</w:t>
      </w:r>
      <w:r>
        <w:rPr>
          <w:rFonts w:ascii="Calibri" w:hAnsi="Calibri"/>
          <w:sz w:val="22"/>
        </w:rPr>
        <w:t xml:space="preserve"> </w:t>
      </w:r>
      <w:r w:rsidR="001D5874">
        <w:rPr>
          <w:rFonts w:ascii="Calibri" w:hAnsi="Calibri"/>
          <w:sz w:val="22"/>
        </w:rPr>
        <w:t>mehrerer</w:t>
      </w:r>
      <w:r>
        <w:rPr>
          <w:rFonts w:ascii="Calibri" w:hAnsi="Calibri"/>
          <w:sz w:val="22"/>
        </w:rPr>
        <w:t xml:space="preserve"> Reihen</w:t>
      </w:r>
      <w:r w:rsidR="00D02BE0">
        <w:rPr>
          <w:rFonts w:ascii="Calibri" w:hAnsi="Calibri"/>
          <w:sz w:val="22"/>
        </w:rPr>
        <w:t xml:space="preserve"> zu </w:t>
      </w:r>
      <w:r>
        <w:rPr>
          <w:rFonts w:ascii="Calibri" w:hAnsi="Calibri"/>
          <w:sz w:val="22"/>
        </w:rPr>
        <w:t>erreichen,</w:t>
      </w:r>
      <w:r w:rsidR="00113BC3">
        <w:rPr>
          <w:rFonts w:ascii="Calibri" w:hAnsi="Calibri"/>
          <w:sz w:val="22"/>
        </w:rPr>
        <w:t xml:space="preserve"> </w:t>
      </w:r>
      <w:r w:rsidR="00E97229">
        <w:rPr>
          <w:rFonts w:ascii="Calibri" w:hAnsi="Calibri"/>
          <w:sz w:val="22"/>
        </w:rPr>
        <w:t>sollten</w:t>
      </w:r>
      <w:r>
        <w:rPr>
          <w:rFonts w:ascii="Calibri" w:hAnsi="Calibri"/>
          <w:sz w:val="22"/>
        </w:rPr>
        <w:t xml:space="preserve"> diese gleichartig sein</w:t>
      </w:r>
      <w:r w:rsidR="004D1419">
        <w:rPr>
          <w:rFonts w:ascii="Calibri" w:hAnsi="Calibri"/>
          <w:sz w:val="22"/>
        </w:rPr>
        <w:t>, d.h. die Gesamtzahl der OPTIPANEL</w:t>
      </w:r>
      <w:r w:rsidR="00E97229">
        <w:rPr>
          <w:rFonts w:ascii="Calibri" w:hAnsi="Calibri"/>
          <w:sz w:val="22"/>
        </w:rPr>
        <w:t xml:space="preserve"> muss</w:t>
      </w:r>
      <w:r w:rsidR="004D1419">
        <w:rPr>
          <w:rFonts w:ascii="Calibri" w:hAnsi="Calibri"/>
          <w:sz w:val="22"/>
        </w:rPr>
        <w:t xml:space="preserve"> in Reihen mit gleicher Anzahl von gleichen OPTIPANEL innerhalb eine</w:t>
      </w:r>
      <w:r w:rsidR="00E97229">
        <w:rPr>
          <w:rFonts w:ascii="Calibri" w:hAnsi="Calibri"/>
          <w:sz w:val="22"/>
        </w:rPr>
        <w:t>s</w:t>
      </w:r>
      <w:r w:rsidR="004D1419">
        <w:rPr>
          <w:rFonts w:ascii="Calibri" w:hAnsi="Calibri"/>
          <w:sz w:val="22"/>
        </w:rPr>
        <w:t xml:space="preserve"> R</w:t>
      </w:r>
      <w:r w:rsidR="00E97229">
        <w:rPr>
          <w:rFonts w:ascii="Calibri" w:hAnsi="Calibri"/>
          <w:sz w:val="22"/>
        </w:rPr>
        <w:t>aumes aufgeteilt werden</w:t>
      </w:r>
      <w:r w:rsidR="004D1419">
        <w:rPr>
          <w:rFonts w:ascii="Calibri" w:hAnsi="Calibri"/>
          <w:sz w:val="22"/>
        </w:rPr>
        <w:t xml:space="preserve"> </w:t>
      </w:r>
      <w:r w:rsidR="00162804">
        <w:rPr>
          <w:rFonts w:ascii="Calibri" w:hAnsi="Calibri"/>
          <w:sz w:val="22"/>
        </w:rPr>
        <w:t>(</w:t>
      </w:r>
      <w:r w:rsidR="004D1419">
        <w:rPr>
          <w:rFonts w:ascii="Calibri" w:hAnsi="Calibri"/>
          <w:sz w:val="22"/>
        </w:rPr>
        <w:t xml:space="preserve">s. </w:t>
      </w:r>
      <w:r w:rsidR="00162804">
        <w:rPr>
          <w:rFonts w:ascii="Calibri" w:hAnsi="Calibri"/>
          <w:sz w:val="22"/>
        </w:rPr>
        <w:t>Abb</w:t>
      </w:r>
      <w:r w:rsidR="004D1419">
        <w:rPr>
          <w:rFonts w:ascii="Calibri" w:hAnsi="Calibri"/>
          <w:sz w:val="22"/>
        </w:rPr>
        <w:t>.</w:t>
      </w:r>
      <w:r w:rsidR="00162804">
        <w:rPr>
          <w:rFonts w:ascii="Calibri" w:hAnsi="Calibri"/>
          <w:sz w:val="22"/>
        </w:rPr>
        <w:t>)</w:t>
      </w:r>
      <w:r w:rsidR="00D02BE0">
        <w:rPr>
          <w:rFonts w:ascii="Calibri" w:hAnsi="Calibri"/>
          <w:sz w:val="22"/>
        </w:rPr>
        <w:t>.</w:t>
      </w:r>
    </w:p>
    <w:p w14:paraId="1DD93A4E" w14:textId="079B56AE" w:rsidR="00E54FE7" w:rsidRDefault="00B84DC2" w:rsidP="00350E40">
      <w:pPr>
        <w:ind w:right="-1"/>
        <w:jc w:val="both"/>
        <w:rPr>
          <w:rFonts w:ascii="Calibri" w:hAnsi="Calibri"/>
          <w:sz w:val="22"/>
        </w:rPr>
      </w:pPr>
      <w:r w:rsidRPr="00894FFE">
        <w:rPr>
          <w:rFonts w:ascii="Calibri" w:hAnsi="Calibri"/>
          <w:sz w:val="22"/>
        </w:rPr>
        <w:t xml:space="preserve">Die maximal zulässige Anzahl OPTIPANEL in einer Reihe ist durch den Druckverlust mit </w:t>
      </w:r>
      <w:r w:rsidRPr="00894FFE">
        <w:rPr>
          <w:rFonts w:ascii="Calibri" w:hAnsi="Calibri"/>
          <w:bCs/>
          <w:sz w:val="22"/>
        </w:rPr>
        <w:t>max. 25 kPa</w:t>
      </w:r>
      <w:r w:rsidRPr="00894FFE">
        <w:rPr>
          <w:rFonts w:ascii="Calibri" w:hAnsi="Calibri"/>
          <w:sz w:val="22"/>
        </w:rPr>
        <w:t xml:space="preserve"> bestimmt.</w:t>
      </w:r>
    </w:p>
    <w:p w14:paraId="45D47F60" w14:textId="6D590C2D" w:rsidR="00E65FB3" w:rsidRDefault="008A42A7" w:rsidP="00E54FE7">
      <w:pPr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noProof/>
          <w:sz w:val="22"/>
        </w:rPr>
        <w:drawing>
          <wp:anchor distT="180340" distB="180340" distL="180340" distR="180340" simplePos="0" relativeHeight="251660288" behindDoc="0" locked="0" layoutInCell="1" allowOverlap="1" wp14:anchorId="1BFAD5BC" wp14:editId="5A3F0777">
            <wp:simplePos x="0" y="0"/>
            <wp:positionH relativeFrom="margin">
              <wp:posOffset>-5762</wp:posOffset>
            </wp:positionH>
            <wp:positionV relativeFrom="margin">
              <wp:posOffset>1910976</wp:posOffset>
            </wp:positionV>
            <wp:extent cx="6113145" cy="1583690"/>
            <wp:effectExtent l="0" t="0" r="190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E50">
        <w:rPr>
          <w:rFonts w:ascii="Calibri" w:hAnsi="Calibri"/>
          <w:sz w:val="22"/>
        </w:rPr>
        <w:t>In</w:t>
      </w:r>
      <w:r w:rsidR="00E54FE7">
        <w:rPr>
          <w:rFonts w:ascii="Calibri" w:hAnsi="Calibri"/>
          <w:sz w:val="22"/>
        </w:rPr>
        <w:t xml:space="preserve"> den Reihen ist eine </w:t>
      </w:r>
      <w:r w:rsidR="00B84DC2" w:rsidRPr="00894FFE">
        <w:rPr>
          <w:rFonts w:ascii="Calibri" w:hAnsi="Calibri"/>
          <w:sz w:val="22"/>
        </w:rPr>
        <w:t>Abweichung der Anzahl der OPTIPANEL von -1 Stück</w:t>
      </w:r>
      <w:r w:rsidR="00E54FE7">
        <w:rPr>
          <w:rFonts w:ascii="Calibri" w:hAnsi="Calibri"/>
          <w:sz w:val="22"/>
        </w:rPr>
        <w:t xml:space="preserve"> </w:t>
      </w:r>
      <w:r w:rsidR="00B84DC2" w:rsidRPr="00894FFE">
        <w:rPr>
          <w:rFonts w:ascii="Calibri" w:hAnsi="Calibri"/>
          <w:sz w:val="22"/>
        </w:rPr>
        <w:t>tolerierbar.</w:t>
      </w:r>
    </w:p>
    <w:p w14:paraId="61C905D8" w14:textId="77777777" w:rsidR="001E09EC" w:rsidRPr="00E54FE7" w:rsidRDefault="001E09EC" w:rsidP="00E54FE7">
      <w:pPr>
        <w:ind w:right="-1"/>
        <w:jc w:val="both"/>
        <w:rPr>
          <w:rFonts w:ascii="Calibri" w:hAnsi="Calibri"/>
          <w:sz w:val="2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19"/>
        <w:gridCol w:w="4820"/>
      </w:tblGrid>
      <w:tr w:rsidR="0038753D" w:rsidRPr="00E311C3" w14:paraId="2CE4B4F7" w14:textId="77777777" w:rsidTr="00350E40">
        <w:tc>
          <w:tcPr>
            <w:tcW w:w="4819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04275E12" w14:textId="77777777" w:rsidR="0038753D" w:rsidRPr="002F31C6" w:rsidRDefault="00897530" w:rsidP="00350E40">
            <w:pPr>
              <w:ind w:right="-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t>Trockenbau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14:paraId="755083FF" w14:textId="77777777" w:rsidR="0038753D" w:rsidRPr="002F31C6" w:rsidRDefault="0038753D" w:rsidP="00350E40">
            <w:pPr>
              <w:ind w:right="-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F31C6">
              <w:rPr>
                <w:rFonts w:ascii="Calibri" w:hAnsi="Calibri"/>
                <w:b/>
                <w:color w:val="FFFFFF" w:themeColor="background1"/>
              </w:rPr>
              <w:t>Anlagenbau</w:t>
            </w:r>
          </w:p>
        </w:tc>
      </w:tr>
      <w:tr w:rsidR="00B64308" w:rsidRPr="00E311C3" w14:paraId="5AF89F5F" w14:textId="77777777" w:rsidTr="001B0684">
        <w:tc>
          <w:tcPr>
            <w:tcW w:w="4819" w:type="dxa"/>
          </w:tcPr>
          <w:p w14:paraId="5CFF2DC9" w14:textId="77777777" w:rsidR="00B64308" w:rsidRPr="00E311C3" w:rsidRDefault="00B64308" w:rsidP="001B0684">
            <w:pPr>
              <w:ind w:right="-1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820" w:type="dxa"/>
          </w:tcPr>
          <w:p w14:paraId="448C71DA" w14:textId="77777777" w:rsidR="00B64308" w:rsidRPr="00E311C3" w:rsidRDefault="00B64308" w:rsidP="001B0684">
            <w:pPr>
              <w:ind w:right="-1"/>
              <w:jc w:val="both"/>
              <w:rPr>
                <w:rFonts w:ascii="Calibri" w:hAnsi="Calibri"/>
                <w:sz w:val="22"/>
              </w:rPr>
            </w:pPr>
          </w:p>
        </w:tc>
      </w:tr>
      <w:tr w:rsidR="0038753D" w:rsidRPr="00E311C3" w14:paraId="6399E1DE" w14:textId="77777777" w:rsidTr="00350E40">
        <w:tc>
          <w:tcPr>
            <w:tcW w:w="4819" w:type="dxa"/>
          </w:tcPr>
          <w:p w14:paraId="0F06DDED" w14:textId="77777777" w:rsidR="0038753D" w:rsidRPr="00E311C3" w:rsidRDefault="0038753D" w:rsidP="00350E40">
            <w:pPr>
              <w:ind w:right="-1"/>
              <w:jc w:val="both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4820" w:type="dxa"/>
          </w:tcPr>
          <w:p w14:paraId="157C7B7B" w14:textId="453A561C" w:rsidR="0038753D" w:rsidRPr="00B64308" w:rsidRDefault="009C6E2B" w:rsidP="007F7104">
            <w:pPr>
              <w:pStyle w:val="Listenabsatz"/>
              <w:numPr>
                <w:ilvl w:val="0"/>
                <w:numId w:val="1"/>
              </w:numPr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B66560">
              <w:rPr>
                <w:rFonts w:asciiTheme="minorHAnsi" w:hAnsiTheme="minorHAnsi" w:cstheme="minorHAnsi"/>
                <w:sz w:val="20"/>
                <w:szCs w:val="20"/>
              </w:rPr>
              <w:t>Montage der Verro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hrung bzw. Zuleitungen für die OPTIPANEL</w:t>
            </w:r>
            <w:r w:rsidRPr="00B6656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44B35"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r w:rsidRPr="00B66560">
              <w:rPr>
                <w:rFonts w:asciiTheme="minorHAnsi" w:hAnsiTheme="minorHAnsi" w:cstheme="minorHAnsi"/>
                <w:sz w:val="20"/>
                <w:szCs w:val="20"/>
              </w:rPr>
              <w:t xml:space="preserve">im </w:t>
            </w:r>
            <w:r w:rsidR="00D33B4A">
              <w:rPr>
                <w:rFonts w:asciiTheme="minorHAnsi" w:hAnsiTheme="minorHAnsi" w:cstheme="minorHAnsi"/>
                <w:sz w:val="20"/>
                <w:szCs w:val="20"/>
              </w:rPr>
              <w:t>Decken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hohl</w:t>
            </w:r>
            <w:r w:rsidRPr="00B66560">
              <w:rPr>
                <w:rFonts w:asciiTheme="minorHAnsi" w:hAnsiTheme="minorHAnsi" w:cstheme="minorHAnsi"/>
                <w:sz w:val="20"/>
                <w:szCs w:val="20"/>
              </w:rPr>
              <w:t>raum</w:t>
            </w:r>
            <w:r w:rsidR="004F73E5">
              <w:rPr>
                <w:rFonts w:asciiTheme="minorHAnsi" w:hAnsiTheme="minorHAnsi" w:cstheme="minorHAnsi"/>
                <w:sz w:val="20"/>
                <w:szCs w:val="20"/>
              </w:rPr>
              <w:t>, im Bodenschlitz oder einer Abkofferung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F369D" w:rsidRPr="001F369D" w14:paraId="1F375582" w14:textId="77777777" w:rsidTr="00350E40">
        <w:tc>
          <w:tcPr>
            <w:tcW w:w="4819" w:type="dxa"/>
          </w:tcPr>
          <w:p w14:paraId="217AE6BB" w14:textId="799C72FF" w:rsidR="0018286A" w:rsidRDefault="0018286A" w:rsidP="007F7104">
            <w:pPr>
              <w:pStyle w:val="Listenabsatz"/>
              <w:numPr>
                <w:ilvl w:val="0"/>
                <w:numId w:val="1"/>
              </w:numPr>
              <w:ind w:right="-1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>Einbau de</w:t>
            </w:r>
            <w:r w:rsidR="004F73E5">
              <w:rPr>
                <w:rFonts w:ascii="Calibri" w:hAnsi="Calibri"/>
                <w:color w:val="000000" w:themeColor="text1"/>
                <w:sz w:val="20"/>
                <w:szCs w:val="20"/>
              </w:rPr>
              <w:t>s</w:t>
            </w: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F73E5">
              <w:rPr>
                <w:rFonts w:ascii="Calibri" w:hAnsi="Calibri"/>
                <w:color w:val="000000" w:themeColor="text1"/>
                <w:sz w:val="20"/>
                <w:szCs w:val="20"/>
              </w:rPr>
              <w:t>Ständerwerks</w:t>
            </w: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nach den allgemeinen Regeln des Trockenbaus</w:t>
            </w:r>
          </w:p>
          <w:p w14:paraId="01F489B1" w14:textId="77777777" w:rsidR="00E45951" w:rsidRPr="001F369D" w:rsidRDefault="00E45951" w:rsidP="00E45951">
            <w:pPr>
              <w:pStyle w:val="Listenabsatz"/>
              <w:ind w:left="360" w:right="-1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12168037" w14:textId="77777777" w:rsidR="00E45951" w:rsidRDefault="0018286A" w:rsidP="007F7104">
            <w:pPr>
              <w:pStyle w:val="Listenabsatz"/>
              <w:numPr>
                <w:ilvl w:val="1"/>
                <w:numId w:val="2"/>
              </w:numPr>
              <w:ind w:left="632" w:right="-1" w:hanging="283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>Querverlegung</w:t>
            </w:r>
            <w:r w:rsidR="004F73E5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des </w:t>
            </w:r>
            <w:r w:rsidRPr="00454771">
              <w:rPr>
                <w:rFonts w:ascii="Calibri" w:hAnsi="Calibri"/>
                <w:color w:val="000000" w:themeColor="text1"/>
                <w:sz w:val="20"/>
                <w:szCs w:val="20"/>
              </w:rPr>
              <w:t>OPTIPANEL 15</w:t>
            </w:r>
            <w:r w:rsidR="00E45951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an maßlich angepasstes</w:t>
            </w:r>
            <w:r w:rsidR="00E45951"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E45951">
              <w:rPr>
                <w:rFonts w:ascii="Calibri" w:hAnsi="Calibri"/>
                <w:color w:val="000000" w:themeColor="text1"/>
                <w:sz w:val="20"/>
                <w:szCs w:val="20"/>
              </w:rPr>
              <w:t>Ständerwerk</w:t>
            </w:r>
          </w:p>
          <w:p w14:paraId="2793DD6B" w14:textId="044173EF" w:rsidR="00E45951" w:rsidRDefault="00E45951" w:rsidP="00E45951">
            <w:pPr>
              <w:pStyle w:val="Listenabsatz"/>
              <w:ind w:left="632" w:right="-1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498D815C" w14:textId="77777777" w:rsidR="004F73E5" w:rsidRDefault="00B84DC2" w:rsidP="007F7104">
            <w:pPr>
              <w:pStyle w:val="Listenabsatz"/>
              <w:numPr>
                <w:ilvl w:val="0"/>
                <w:numId w:val="1"/>
              </w:numPr>
              <w:ind w:right="-1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Befestigung der </w:t>
            </w:r>
            <w:r w:rsidR="004F73E5" w:rsidRPr="001E09EC">
              <w:rPr>
                <w:rFonts w:ascii="Calibri" w:hAnsi="Calibri"/>
                <w:color w:val="000000" w:themeColor="text1"/>
                <w:sz w:val="20"/>
                <w:szCs w:val="20"/>
              </w:rPr>
              <w:t>Vor- und Rücklaufleitung</w:t>
            </w: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4F73E5">
              <w:rPr>
                <w:rFonts w:ascii="Calibri" w:hAnsi="Calibri"/>
                <w:color w:val="000000" w:themeColor="text1"/>
                <w:sz w:val="20"/>
                <w:szCs w:val="20"/>
              </w:rPr>
              <w:t>im Hohlraum der Wand</w:t>
            </w:r>
            <w:r w:rsidR="002D19A4"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>.</w:t>
            </w:r>
          </w:p>
          <w:p w14:paraId="2C4F131A" w14:textId="54A875FF" w:rsidR="0020711A" w:rsidRPr="001F369D" w:rsidRDefault="0020711A" w:rsidP="004F73E5">
            <w:pPr>
              <w:pStyle w:val="Listenabsatz"/>
              <w:ind w:left="360" w:right="-1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14:paraId="6BC50049" w14:textId="0782F06A" w:rsidR="00454771" w:rsidRPr="001E09EC" w:rsidRDefault="00B84DC2" w:rsidP="001E09EC">
            <w:pPr>
              <w:pStyle w:val="Listenabsatz"/>
              <w:numPr>
                <w:ilvl w:val="0"/>
                <w:numId w:val="1"/>
              </w:numPr>
              <w:ind w:left="349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Anschrauben der </w:t>
            </w:r>
            <w:r w:rsidR="00E20FAD"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vorgefertigten </w:t>
            </w:r>
            <w:r w:rsidRPr="0045477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 xml:space="preserve">OPTIPANEL </w:t>
            </w:r>
            <w:r w:rsidR="00E20FAD" w:rsidRPr="0045477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1</w:t>
            </w:r>
            <w:r w:rsidR="00D524E8" w:rsidRPr="00454771">
              <w:rPr>
                <w:rFonts w:ascii="Calibri" w:hAnsi="Calibri"/>
                <w:bCs/>
                <w:color w:val="000000" w:themeColor="text1"/>
                <w:sz w:val="20"/>
                <w:szCs w:val="20"/>
              </w:rPr>
              <w:t>5</w:t>
            </w:r>
            <w:r w:rsidR="004F73E5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an </w:t>
            </w:r>
            <w:r w:rsidR="004F73E5">
              <w:rPr>
                <w:rFonts w:ascii="Calibri" w:hAnsi="Calibri"/>
                <w:color w:val="000000" w:themeColor="text1"/>
                <w:sz w:val="20"/>
                <w:szCs w:val="20"/>
              </w:rPr>
              <w:t>das Ständerwerk</w:t>
            </w:r>
            <w:r w:rsidR="00E20FAD"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>. Das Anschrauben erfolgt über die</w:t>
            </w:r>
            <w:r w:rsidRPr="001F369D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werkseitig vorgebohrten Schraublöcher.</w:t>
            </w:r>
            <w:r w:rsidR="001E09EC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</w:r>
          </w:p>
          <w:p w14:paraId="08D36019" w14:textId="77777777" w:rsidR="00776216" w:rsidRPr="00776216" w:rsidRDefault="001E09EC" w:rsidP="001E09EC">
            <w:pPr>
              <w:pStyle w:val="Listenabsatz"/>
              <w:numPr>
                <w:ilvl w:val="0"/>
                <w:numId w:val="1"/>
              </w:numPr>
              <w:ind w:left="349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Verbindung der OPTIPANEL 15 untereinander in Reihe sowie an Vor- und Rücklaufleitungen mit den flexiblen Schläuchen </w:t>
            </w:r>
            <w:r w:rsidRPr="00454771">
              <w:rPr>
                <w:rFonts w:ascii="Calibri" w:hAnsi="Calibri"/>
                <w:b/>
                <w:bCs/>
                <w:color w:val="000000" w:themeColor="text1"/>
                <w:sz w:val="20"/>
                <w:szCs w:val="20"/>
              </w:rPr>
              <w:t>SNY 10.0800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gemäß der zuvor festgelegten Anzahl pro Reihe.</w:t>
            </w:r>
          </w:p>
          <w:p w14:paraId="26D8962C" w14:textId="230F3083" w:rsidR="001E09EC" w:rsidRDefault="001E09EC" w:rsidP="00776216">
            <w:pPr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C4E390" w14:textId="77777777" w:rsidR="00776216" w:rsidRPr="00776216" w:rsidRDefault="00776216" w:rsidP="00776216">
            <w:pPr>
              <w:ind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770BDB" w14:textId="77777777" w:rsidR="001E09EC" w:rsidRPr="001E09EC" w:rsidRDefault="001E09EC" w:rsidP="001E09EC">
            <w:pPr>
              <w:pStyle w:val="Listenabsatz"/>
              <w:ind w:left="349" w:right="-1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4BF1BC" w14:textId="6D68130E" w:rsidR="00454771" w:rsidRPr="00D524E8" w:rsidRDefault="00454771" w:rsidP="001E09EC">
            <w:pPr>
              <w:ind w:right="-1"/>
              <w:jc w:val="both"/>
            </w:pPr>
          </w:p>
        </w:tc>
        <w:tc>
          <w:tcPr>
            <w:tcW w:w="4820" w:type="dxa"/>
          </w:tcPr>
          <w:p w14:paraId="5E272806" w14:textId="77777777" w:rsidR="00B84DC2" w:rsidRPr="001F369D" w:rsidRDefault="00B84DC2" w:rsidP="00350E40">
            <w:pPr>
              <w:ind w:right="-1"/>
              <w:jc w:val="both"/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</w:tr>
      <w:tr w:rsidR="00544285" w:rsidRPr="00E311C3" w14:paraId="67E7F28D" w14:textId="77777777" w:rsidTr="00544285">
        <w:tc>
          <w:tcPr>
            <w:tcW w:w="4819" w:type="dxa"/>
            <w:tcBorders>
              <w:right w:val="single" w:sz="4" w:space="0" w:color="FFFFFF" w:themeColor="background1"/>
            </w:tcBorders>
            <w:shd w:val="clear" w:color="auto" w:fill="auto"/>
          </w:tcPr>
          <w:p w14:paraId="19A22F1D" w14:textId="77777777" w:rsidR="00544285" w:rsidRDefault="00544285" w:rsidP="00D524E8">
            <w:pPr>
              <w:ind w:right="-1"/>
              <w:rPr>
                <w:rFonts w:ascii="Calibri" w:hAnsi="Calibri"/>
                <w:b/>
                <w:color w:val="FFFFFF" w:themeColor="background1"/>
              </w:rPr>
            </w:pPr>
          </w:p>
        </w:tc>
        <w:tc>
          <w:tcPr>
            <w:tcW w:w="4820" w:type="dxa"/>
            <w:tcBorders>
              <w:left w:val="single" w:sz="4" w:space="0" w:color="FFFFFF" w:themeColor="background1"/>
            </w:tcBorders>
            <w:shd w:val="clear" w:color="auto" w:fill="auto"/>
          </w:tcPr>
          <w:p w14:paraId="7DF62B4C" w14:textId="77777777" w:rsidR="00544285" w:rsidRPr="002F31C6" w:rsidRDefault="00544285" w:rsidP="00350E40">
            <w:pPr>
              <w:ind w:right="-1"/>
              <w:jc w:val="center"/>
              <w:rPr>
                <w:rFonts w:ascii="Calibri" w:hAnsi="Calibri"/>
                <w:b/>
                <w:color w:val="FFFFFF" w:themeColor="background1"/>
              </w:rPr>
            </w:pPr>
          </w:p>
        </w:tc>
      </w:tr>
      <w:tr w:rsidR="00D524E8" w:rsidRPr="00E311C3" w14:paraId="3EA1265D" w14:textId="77777777" w:rsidTr="008A46A3">
        <w:tc>
          <w:tcPr>
            <w:tcW w:w="4819" w:type="dxa"/>
            <w:tcBorders>
              <w:right w:val="single" w:sz="4" w:space="0" w:color="FFFFFF" w:themeColor="background1"/>
            </w:tcBorders>
            <w:shd w:val="clear" w:color="auto" w:fill="808080" w:themeFill="background1" w:themeFillShade="80"/>
          </w:tcPr>
          <w:p w14:paraId="4AF36E38" w14:textId="77777777" w:rsidR="00D524E8" w:rsidRPr="002F31C6" w:rsidRDefault="00D524E8" w:rsidP="008A46A3">
            <w:pPr>
              <w:ind w:right="-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>
              <w:rPr>
                <w:rFonts w:ascii="Calibri" w:hAnsi="Calibri"/>
                <w:b/>
                <w:color w:val="FFFFFF" w:themeColor="background1"/>
              </w:rPr>
              <w:lastRenderedPageBreak/>
              <w:t>Trockenbau</w:t>
            </w:r>
          </w:p>
        </w:tc>
        <w:tc>
          <w:tcPr>
            <w:tcW w:w="4820" w:type="dxa"/>
            <w:tcBorders>
              <w:left w:val="single" w:sz="4" w:space="0" w:color="FFFFFF" w:themeColor="background1"/>
            </w:tcBorders>
            <w:shd w:val="clear" w:color="auto" w:fill="808080" w:themeFill="background1" w:themeFillShade="80"/>
          </w:tcPr>
          <w:p w14:paraId="77D84377" w14:textId="77777777" w:rsidR="00D524E8" w:rsidRPr="002F31C6" w:rsidRDefault="00D524E8" w:rsidP="008A46A3">
            <w:pPr>
              <w:ind w:right="-1"/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2F31C6">
              <w:rPr>
                <w:rFonts w:ascii="Calibri" w:hAnsi="Calibri"/>
                <w:b/>
                <w:color w:val="FFFFFF" w:themeColor="background1"/>
              </w:rPr>
              <w:t>Anlagenbau</w:t>
            </w:r>
          </w:p>
        </w:tc>
      </w:tr>
      <w:tr w:rsidR="00E54FE7" w:rsidRPr="00E311C3" w14:paraId="4FB95B1F" w14:textId="77777777" w:rsidTr="00E01448">
        <w:tc>
          <w:tcPr>
            <w:tcW w:w="4819" w:type="dxa"/>
          </w:tcPr>
          <w:p w14:paraId="3D081285" w14:textId="77777777" w:rsidR="00D524E8" w:rsidRDefault="00D524E8" w:rsidP="00E01448">
            <w:pPr>
              <w:pStyle w:val="Listenabsatz"/>
              <w:ind w:left="360" w:right="-1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</w:p>
          <w:p w14:paraId="2E30E145" w14:textId="42EE5DD0" w:rsidR="00E54FE7" w:rsidRPr="001E09EC" w:rsidRDefault="00E54FE7" w:rsidP="00E01448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1E09EC">
              <w:rPr>
                <w:noProof/>
                <w:color w:val="FF0000"/>
              </w:rPr>
              <w:drawing>
                <wp:anchor distT="0" distB="0" distL="114300" distR="114300" simplePos="0" relativeHeight="251673600" behindDoc="0" locked="0" layoutInCell="1" allowOverlap="1" wp14:anchorId="14E9A5A2" wp14:editId="6283E482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288290</wp:posOffset>
                  </wp:positionV>
                  <wp:extent cx="396000" cy="396000"/>
                  <wp:effectExtent l="0" t="0" r="0" b="0"/>
                  <wp:wrapSquare wrapText="bothSides"/>
                  <wp:docPr id="3" name="Grafik 3" descr="War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ediafile_wXwTOe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09EC">
              <w:rPr>
                <w:rFonts w:ascii="Calibri" w:hAnsi="Calibri"/>
                <w:color w:val="FF0000"/>
                <w:sz w:val="20"/>
                <w:szCs w:val="20"/>
              </w:rPr>
              <w:t xml:space="preserve">Die flexiblen Schläuche sind in die Steckanschlüsse bis zum Anschlag einzustecken und </w:t>
            </w:r>
            <w:proofErr w:type="gramStart"/>
            <w:r w:rsidRPr="001E09EC">
              <w:rPr>
                <w:rFonts w:ascii="Calibri" w:hAnsi="Calibri"/>
                <w:color w:val="FF0000"/>
                <w:sz w:val="20"/>
                <w:szCs w:val="20"/>
              </w:rPr>
              <w:t>mittels</w:t>
            </w:r>
            <w:r w:rsidR="00FC6B63" w:rsidRPr="001E09EC">
              <w:rPr>
                <w:rFonts w:ascii="Calibri" w:hAnsi="Calibri"/>
                <w:color w:val="FF0000"/>
                <w:sz w:val="20"/>
                <w:szCs w:val="20"/>
              </w:rPr>
              <w:t xml:space="preserve"> </w:t>
            </w:r>
            <w:r w:rsidRPr="001E09EC">
              <w:rPr>
                <w:rFonts w:ascii="Calibri" w:hAnsi="Calibri"/>
                <w:color w:val="FF0000"/>
                <w:sz w:val="20"/>
                <w:szCs w:val="20"/>
              </w:rPr>
              <w:t>Zug</w:t>
            </w:r>
            <w:proofErr w:type="gramEnd"/>
            <w:r w:rsidRPr="001E09EC">
              <w:rPr>
                <w:rFonts w:ascii="Calibri" w:hAnsi="Calibri"/>
                <w:color w:val="FF0000"/>
                <w:sz w:val="20"/>
                <w:szCs w:val="20"/>
              </w:rPr>
              <w:t xml:space="preserve"> auf ihren korrekten Sitz zu prüfen!</w:t>
            </w:r>
          </w:p>
          <w:p w14:paraId="243EDF39" w14:textId="77777777" w:rsidR="00E54FE7" w:rsidRPr="001E09EC" w:rsidRDefault="00E54FE7" w:rsidP="00E01448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B06484E" w14:textId="77777777" w:rsidR="00E54FE7" w:rsidRPr="00F4240C" w:rsidRDefault="00E54FE7" w:rsidP="00E01448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1E09EC">
              <w:rPr>
                <w:rFonts w:ascii="Calibri" w:hAnsi="Calibri"/>
                <w:sz w:val="20"/>
                <w:szCs w:val="20"/>
              </w:rPr>
              <w:t>Beim Einstecken der flexiblen Schläuche in die Steckanschlüsse der Kapillarrohrmatten sind diese an den Stammrohren festzuhalten.</w:t>
            </w:r>
          </w:p>
        </w:tc>
        <w:tc>
          <w:tcPr>
            <w:tcW w:w="4820" w:type="dxa"/>
          </w:tcPr>
          <w:p w14:paraId="5B108D75" w14:textId="77777777" w:rsidR="00E54FE7" w:rsidRPr="00B84DC2" w:rsidRDefault="00E54FE7" w:rsidP="00E01448">
            <w:pPr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50FB964" w14:textId="77777777" w:rsidR="00E54FE7" w:rsidRDefault="00E54FE7" w:rsidP="00E01448">
            <w:pPr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747FCC7" w14:textId="77777777" w:rsidR="00E54FE7" w:rsidRPr="00B84DC2" w:rsidRDefault="00E54FE7" w:rsidP="00E01448">
            <w:pPr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A18D2" w:rsidRPr="00E311C3" w14:paraId="0070271C" w14:textId="77777777" w:rsidTr="00350E40">
        <w:tc>
          <w:tcPr>
            <w:tcW w:w="4819" w:type="dxa"/>
          </w:tcPr>
          <w:p w14:paraId="3EA32C6D" w14:textId="77777777" w:rsidR="00EA18D2" w:rsidRDefault="00EA18D2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73FA14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B9E517E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4F64C5E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C39680C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0D0F63D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9680EC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09B1E29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5D039A7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D437964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96AF7D9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E4B5D61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63DD54B2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4A8EBD3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805C523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5F92F67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0F726E53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F7DE504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8943947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D3BEA5B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704A50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F3B4DCC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D164661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7193B5A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3E9350C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41B6EA7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E0E0283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EE44F3" w14:textId="77777777" w:rsidR="007F7104" w:rsidRDefault="007F7104" w:rsidP="00350E40">
            <w:pPr>
              <w:pStyle w:val="Listenabsatz"/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34F1A196" w14:textId="198FAD9A" w:rsidR="007F7104" w:rsidRDefault="0056328E" w:rsidP="0056328E">
            <w:pPr>
              <w:pStyle w:val="Listenabsatz"/>
              <w:numPr>
                <w:ilvl w:val="0"/>
                <w:numId w:val="6"/>
              </w:numPr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56328E">
              <w:rPr>
                <w:rFonts w:ascii="Calibri" w:hAnsi="Calibri"/>
                <w:sz w:val="20"/>
                <w:szCs w:val="20"/>
              </w:rPr>
              <w:t>Nach erfolgreicher Dichtheitsprüfung, die zunächst mit Luft und dann mit flüssigem Anlagenmedium durchgeführt wurde, kann die Wand mit den inaktiven Platten komplett geschlossen werden.</w:t>
            </w:r>
          </w:p>
          <w:p w14:paraId="2DD80730" w14:textId="585449ED" w:rsidR="007F7104" w:rsidRPr="0056328E" w:rsidRDefault="007F7104" w:rsidP="0056328E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</w:tcPr>
          <w:p w14:paraId="1FC9F378" w14:textId="0E053D4C" w:rsidR="00AE3A8B" w:rsidRDefault="00FF5388" w:rsidP="0056328E">
            <w:pPr>
              <w:pStyle w:val="Listenabsatz"/>
              <w:numPr>
                <w:ilvl w:val="0"/>
                <w:numId w:val="1"/>
              </w:numPr>
              <w:ind w:left="349"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FF5388">
              <w:rPr>
                <w:rFonts w:ascii="Calibri" w:hAnsi="Calibri"/>
                <w:sz w:val="20"/>
                <w:szCs w:val="20"/>
              </w:rPr>
              <w:t>Nach der fachgerechten Installation der OPTIPANEL</w:t>
            </w:r>
            <w:r w:rsidR="00D524E8">
              <w:rPr>
                <w:rFonts w:ascii="Calibri" w:hAnsi="Calibri"/>
                <w:sz w:val="20"/>
                <w:szCs w:val="20"/>
              </w:rPr>
              <w:t xml:space="preserve"> 15</w:t>
            </w:r>
            <w:r w:rsidRPr="00FF5388">
              <w:rPr>
                <w:rFonts w:ascii="Calibri" w:hAnsi="Calibri"/>
                <w:sz w:val="20"/>
                <w:szCs w:val="20"/>
              </w:rPr>
              <w:t xml:space="preserve"> und vor dem </w:t>
            </w:r>
            <w:r w:rsidR="001E09EC">
              <w:rPr>
                <w:rFonts w:ascii="Calibri" w:hAnsi="Calibri"/>
                <w:sz w:val="20"/>
                <w:szCs w:val="20"/>
              </w:rPr>
              <w:t xml:space="preserve">vollständigen </w:t>
            </w:r>
            <w:r w:rsidRPr="00FF5388">
              <w:rPr>
                <w:rFonts w:ascii="Calibri" w:hAnsi="Calibri"/>
                <w:sz w:val="20"/>
                <w:szCs w:val="20"/>
              </w:rPr>
              <w:t xml:space="preserve">Schließen </w:t>
            </w:r>
            <w:r w:rsidR="001E09EC">
              <w:rPr>
                <w:rFonts w:ascii="Calibri" w:hAnsi="Calibri"/>
                <w:sz w:val="20"/>
                <w:szCs w:val="20"/>
              </w:rPr>
              <w:t xml:space="preserve">der Wand </w:t>
            </w:r>
            <w:r w:rsidRPr="00FF5388">
              <w:rPr>
                <w:rFonts w:ascii="Calibri" w:hAnsi="Calibri"/>
                <w:sz w:val="20"/>
                <w:szCs w:val="20"/>
              </w:rPr>
              <w:t>ist das System einer ersten Dichtheitsprüfung mit 3 bar Druckluft über den Zeitraum von mindestens einer Stunde zu unterziehen.</w:t>
            </w:r>
          </w:p>
          <w:p w14:paraId="476F0F49" w14:textId="77777777" w:rsidR="001E09EC" w:rsidRDefault="001E09EC" w:rsidP="00350E40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218DF59F" w14:textId="737E1817" w:rsidR="00FF5388" w:rsidRPr="00AE3A8B" w:rsidRDefault="00FF5388" w:rsidP="00350E40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AE3A8B">
              <w:rPr>
                <w:rFonts w:ascii="Calibri" w:hAnsi="Calibri"/>
                <w:sz w:val="20"/>
                <w:szCs w:val="20"/>
              </w:rPr>
              <w:t>Der Druck ist am Manometer laufend zu prüfen und das Ergebnis muss in einem entsprechenden Protokoll festgehalten werden.</w:t>
            </w:r>
          </w:p>
          <w:p w14:paraId="5E14A2FC" w14:textId="77777777" w:rsidR="00FF5388" w:rsidRPr="00FF5388" w:rsidRDefault="00FF5388" w:rsidP="00350E40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58BD8FA9" w14:textId="7D8EF218" w:rsidR="00EA18D2" w:rsidRPr="00D33B4A" w:rsidRDefault="00FF5388" w:rsidP="007F7104">
            <w:pPr>
              <w:numPr>
                <w:ilvl w:val="0"/>
                <w:numId w:val="4"/>
              </w:numPr>
              <w:ind w:right="-1"/>
              <w:jc w:val="both"/>
              <w:rPr>
                <w:rFonts w:ascii="Calibri" w:hAnsi="Calibri"/>
                <w:strike/>
                <w:sz w:val="20"/>
                <w:szCs w:val="20"/>
              </w:rPr>
            </w:pPr>
            <w:r w:rsidRPr="00FF5388">
              <w:rPr>
                <w:rFonts w:ascii="Calibri" w:hAnsi="Calibri"/>
                <w:sz w:val="20"/>
                <w:szCs w:val="20"/>
              </w:rPr>
              <w:t>Der Anschluss der Räume an das Rohrnetz der Gesamtanlage erfolgt durch den Anlagenbauer, der d</w:t>
            </w:r>
            <w:r w:rsidR="00D524E8">
              <w:rPr>
                <w:rFonts w:ascii="Calibri" w:hAnsi="Calibri"/>
                <w:sz w:val="20"/>
                <w:szCs w:val="20"/>
              </w:rPr>
              <w:t>ie</w:t>
            </w:r>
            <w:r w:rsidRPr="00FF538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524E8" w:rsidRPr="001E09EC">
              <w:rPr>
                <w:rFonts w:ascii="Calibri" w:hAnsi="Calibri"/>
                <w:sz w:val="20"/>
                <w:szCs w:val="20"/>
              </w:rPr>
              <w:t>Vor- und Rücklaufleitungen</w:t>
            </w:r>
            <w:r w:rsidRPr="00FF5388">
              <w:rPr>
                <w:rFonts w:ascii="Calibri" w:hAnsi="Calibri"/>
                <w:sz w:val="20"/>
                <w:szCs w:val="20"/>
              </w:rPr>
              <w:t xml:space="preserve"> mit </w:t>
            </w:r>
            <w:r w:rsidR="001E09EC">
              <w:rPr>
                <w:rFonts w:ascii="Calibri" w:hAnsi="Calibri"/>
                <w:sz w:val="20"/>
                <w:szCs w:val="20"/>
              </w:rPr>
              <w:t>eine</w:t>
            </w:r>
            <w:r w:rsidRPr="00FF5388">
              <w:rPr>
                <w:rFonts w:ascii="Calibri" w:hAnsi="Calibri"/>
                <w:sz w:val="20"/>
                <w:szCs w:val="20"/>
              </w:rPr>
              <w:t xml:space="preserve">r </w:t>
            </w:r>
            <w:r w:rsidR="001E09EC">
              <w:rPr>
                <w:rFonts w:ascii="Calibri" w:hAnsi="Calibri"/>
                <w:sz w:val="20"/>
                <w:szCs w:val="20"/>
              </w:rPr>
              <w:t xml:space="preserve">dezentralen </w:t>
            </w:r>
            <w:r w:rsidRPr="00FF5388">
              <w:rPr>
                <w:rFonts w:ascii="Calibri" w:hAnsi="Calibri"/>
                <w:sz w:val="20"/>
                <w:szCs w:val="20"/>
              </w:rPr>
              <w:t>Raumregelgruppe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1E09EC">
              <w:rPr>
                <w:rFonts w:ascii="Calibri" w:hAnsi="Calibri"/>
                <w:sz w:val="20"/>
                <w:szCs w:val="20"/>
              </w:rPr>
              <w:t xml:space="preserve">oder einem zentral gelegenen Verteiler </w:t>
            </w:r>
            <w:r w:rsidRPr="00FF5388">
              <w:rPr>
                <w:rFonts w:ascii="Calibri" w:hAnsi="Calibri"/>
                <w:sz w:val="20"/>
                <w:szCs w:val="20"/>
              </w:rPr>
              <w:t xml:space="preserve">verbindet. </w:t>
            </w:r>
          </w:p>
          <w:p w14:paraId="7B3D38BB" w14:textId="45836B63" w:rsidR="00AE3A8B" w:rsidRDefault="00AE3A8B" w:rsidP="00350E40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76B6652D" w14:textId="5BC03F57" w:rsidR="00FF5388" w:rsidRDefault="00FF5388" w:rsidP="007F7104">
            <w:pPr>
              <w:numPr>
                <w:ilvl w:val="0"/>
                <w:numId w:val="4"/>
              </w:numPr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FF5388">
              <w:rPr>
                <w:rFonts w:ascii="Calibri" w:hAnsi="Calibri"/>
                <w:sz w:val="20"/>
                <w:szCs w:val="20"/>
              </w:rPr>
              <w:t xml:space="preserve">Je nach Leistungsumfang sind die Zonen </w:t>
            </w:r>
            <w:r w:rsidR="001E09EC">
              <w:rPr>
                <w:rFonts w:ascii="Calibri" w:hAnsi="Calibri"/>
                <w:sz w:val="20"/>
                <w:szCs w:val="20"/>
              </w:rPr>
              <w:t xml:space="preserve">(hydraulischen Kreise) </w:t>
            </w:r>
            <w:r w:rsidRPr="00FF5388">
              <w:rPr>
                <w:rFonts w:ascii="Calibri" w:hAnsi="Calibri"/>
                <w:sz w:val="20"/>
                <w:szCs w:val="20"/>
              </w:rPr>
              <w:t>noch mit dem Anlagenmedium zu füllen und zu spülen.</w:t>
            </w:r>
          </w:p>
          <w:p w14:paraId="794ACC10" w14:textId="77777777" w:rsidR="001E09EC" w:rsidRPr="00FF5388" w:rsidRDefault="001E09EC" w:rsidP="001E09EC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E546A4E" w14:textId="77777777" w:rsidR="00AE3A8B" w:rsidRDefault="00FF5388" w:rsidP="007F7104">
            <w:pPr>
              <w:numPr>
                <w:ilvl w:val="0"/>
                <w:numId w:val="4"/>
              </w:numPr>
              <w:ind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FF5388">
              <w:rPr>
                <w:rFonts w:ascii="Calibri" w:hAnsi="Calibri"/>
                <w:sz w:val="20"/>
                <w:szCs w:val="20"/>
              </w:rPr>
              <w:t>Nach dem Füllen und Entlüften ist eine Dich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F5388">
              <w:rPr>
                <w:rFonts w:ascii="Calibri" w:hAnsi="Calibri"/>
                <w:sz w:val="20"/>
                <w:szCs w:val="20"/>
              </w:rPr>
              <w:t>heitsprüfung mit 10 bar über 24 h durch</w:t>
            </w:r>
            <w:r w:rsidR="00383E38">
              <w:rPr>
                <w:rFonts w:ascii="Calibri" w:hAnsi="Calibri"/>
                <w:sz w:val="20"/>
                <w:szCs w:val="20"/>
              </w:rPr>
              <w:t>-</w:t>
            </w:r>
            <w:r w:rsidRPr="00FF5388">
              <w:rPr>
                <w:rFonts w:ascii="Calibri" w:hAnsi="Calibri"/>
                <w:sz w:val="20"/>
                <w:szCs w:val="20"/>
              </w:rPr>
              <w:t>zuführen und zu protokollier</w:t>
            </w:r>
            <w:r w:rsidR="002D19A4">
              <w:rPr>
                <w:rFonts w:ascii="Calibri" w:hAnsi="Calibri"/>
                <w:sz w:val="20"/>
                <w:szCs w:val="20"/>
              </w:rPr>
              <w:t>en.</w:t>
            </w:r>
          </w:p>
          <w:p w14:paraId="7F008AE7" w14:textId="77777777" w:rsidR="001E09EC" w:rsidRDefault="001E09EC" w:rsidP="00350E40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177F0F06" w14:textId="5DBB8C41" w:rsidR="00FF5388" w:rsidRPr="00AE3A8B" w:rsidRDefault="00FF5388" w:rsidP="00350E40">
            <w:pPr>
              <w:ind w:left="360" w:right="-1"/>
              <w:jc w:val="both"/>
              <w:rPr>
                <w:rFonts w:ascii="Calibri" w:hAnsi="Calibri"/>
                <w:sz w:val="20"/>
                <w:szCs w:val="20"/>
              </w:rPr>
            </w:pPr>
            <w:r w:rsidRPr="00AE3A8B">
              <w:rPr>
                <w:rFonts w:ascii="Calibri" w:hAnsi="Calibri"/>
                <w:sz w:val="20"/>
                <w:szCs w:val="20"/>
              </w:rPr>
              <w:t xml:space="preserve">Detailinformationen hierzu finden Sie in der </w:t>
            </w:r>
            <w:r w:rsidR="00EA76DD" w:rsidRPr="00544285">
              <w:rPr>
                <w:rFonts w:ascii="Calibri" w:hAnsi="Calibri"/>
                <w:b/>
                <w:bCs/>
                <w:sz w:val="20"/>
                <w:szCs w:val="20"/>
              </w:rPr>
              <w:t xml:space="preserve">Clina </w:t>
            </w:r>
            <w:r w:rsidRPr="00544285">
              <w:rPr>
                <w:rFonts w:ascii="Calibri" w:hAnsi="Calibri"/>
                <w:b/>
                <w:bCs/>
                <w:sz w:val="20"/>
                <w:szCs w:val="20"/>
              </w:rPr>
              <w:t xml:space="preserve">Richtlinie </w:t>
            </w:r>
            <w:r w:rsidR="00EA76DD" w:rsidRPr="00544285">
              <w:rPr>
                <w:rFonts w:ascii="Calibri" w:hAnsi="Calibri"/>
                <w:b/>
                <w:bCs/>
                <w:sz w:val="20"/>
                <w:szCs w:val="20"/>
              </w:rPr>
              <w:t>CR02</w:t>
            </w:r>
            <w:r w:rsidR="00EA76DD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3A8B">
              <w:rPr>
                <w:rFonts w:ascii="Calibri" w:hAnsi="Calibri"/>
                <w:sz w:val="20"/>
                <w:szCs w:val="20"/>
              </w:rPr>
              <w:t>"Füllen, Entlüften und Dichtheitsprüfung" der Clina Heiz- und Kühlelemente GmbH.</w:t>
            </w:r>
          </w:p>
        </w:tc>
      </w:tr>
    </w:tbl>
    <w:p w14:paraId="2F968830" w14:textId="77777777" w:rsidR="00365803" w:rsidRDefault="00365803" w:rsidP="00350E40">
      <w:pPr>
        <w:ind w:right="-1"/>
        <w:jc w:val="both"/>
        <w:rPr>
          <w:b/>
          <w:sz w:val="28"/>
          <w:szCs w:val="20"/>
          <w:u w:val="single"/>
        </w:rPr>
      </w:pPr>
    </w:p>
    <w:sectPr w:rsidR="00365803" w:rsidSect="00350E4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F783" w14:textId="77777777" w:rsidR="00527B97" w:rsidRDefault="00527B97">
      <w:r>
        <w:separator/>
      </w:r>
    </w:p>
  </w:endnote>
  <w:endnote w:type="continuationSeparator" w:id="0">
    <w:p w14:paraId="1C9EAA3B" w14:textId="77777777" w:rsidR="00527B97" w:rsidRDefault="0052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96CB3" w14:textId="33423D11" w:rsidR="00D355A3" w:rsidRPr="00AA53CA" w:rsidRDefault="00E54FE7" w:rsidP="008B6A00">
    <w:pPr>
      <w:pStyle w:val="Fuzeile"/>
      <w:tabs>
        <w:tab w:val="left" w:pos="335"/>
        <w:tab w:val="center" w:pos="4819"/>
      </w:tabs>
      <w:rPr>
        <w:rFonts w:asciiTheme="minorHAnsi" w:hAnsiTheme="minorHAnsi" w:cstheme="minorHAnsi"/>
        <w:sz w:val="16"/>
        <w:szCs w:val="16"/>
      </w:rPr>
    </w:pPr>
    <w:r>
      <w:rPr>
        <w:rStyle w:val="Seitenzahl"/>
        <w:rFonts w:asciiTheme="minorHAnsi" w:hAnsiTheme="minorHAnsi" w:cstheme="minorHAnsi"/>
        <w:sz w:val="16"/>
        <w:szCs w:val="16"/>
      </w:rPr>
      <w:t>0</w:t>
    </w:r>
    <w:r w:rsidR="001E09EC">
      <w:rPr>
        <w:rStyle w:val="Seitenzahl"/>
        <w:rFonts w:asciiTheme="minorHAnsi" w:hAnsiTheme="minorHAnsi" w:cstheme="minorHAnsi"/>
        <w:sz w:val="16"/>
        <w:szCs w:val="16"/>
      </w:rPr>
      <w:t>8</w: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t>|20</w:t>
    </w:r>
    <w:r>
      <w:rPr>
        <w:rStyle w:val="Seitenzahl"/>
        <w:rFonts w:asciiTheme="minorHAnsi" w:hAnsiTheme="minorHAnsi" w:cstheme="minorHAnsi"/>
        <w:sz w:val="16"/>
        <w:szCs w:val="16"/>
      </w:rPr>
      <w:t>2</w:t>
    </w:r>
    <w:r w:rsidR="001E09EC">
      <w:rPr>
        <w:rStyle w:val="Seitenzahl"/>
        <w:rFonts w:asciiTheme="minorHAnsi" w:hAnsiTheme="minorHAnsi" w:cstheme="minorHAnsi"/>
        <w:sz w:val="16"/>
        <w:szCs w:val="16"/>
      </w:rPr>
      <w:t>1</w: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t xml:space="preserve"> Clina Heiz- und Kühlelemente GmbH | </w:t>
    </w:r>
    <w:r w:rsidR="008B6A00" w:rsidRPr="005749A0">
      <w:rPr>
        <w:rStyle w:val="Seitenzahl"/>
        <w:rFonts w:asciiTheme="minorHAnsi" w:hAnsiTheme="minorHAnsi" w:cstheme="minorHAnsi"/>
        <w:b/>
        <w:bCs/>
        <w:color w:val="0070C0"/>
        <w:sz w:val="16"/>
        <w:szCs w:val="16"/>
      </w:rPr>
      <w:t>www.clina.de</w: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tab/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tab/>
    </w:r>
    <w:r w:rsidR="00BC7491">
      <w:rPr>
        <w:rStyle w:val="Seitenzahl"/>
        <w:rFonts w:asciiTheme="minorHAnsi" w:hAnsiTheme="minorHAnsi" w:cstheme="minorHAnsi"/>
        <w:sz w:val="16"/>
        <w:szCs w:val="16"/>
      </w:rPr>
      <w:tab/>
    </w:r>
    <w:r w:rsidR="00BC7491">
      <w:rPr>
        <w:rStyle w:val="Seitenzahl"/>
        <w:rFonts w:asciiTheme="minorHAnsi" w:hAnsiTheme="minorHAnsi" w:cstheme="minorHAnsi"/>
        <w:sz w:val="16"/>
        <w:szCs w:val="16"/>
      </w:rPr>
      <w:tab/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fldChar w:fldCharType="begin"/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instrText xml:space="preserve"> page </w:instrTex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fldChar w:fldCharType="separate"/>
    </w:r>
    <w:r w:rsidR="002A44EA">
      <w:rPr>
        <w:rStyle w:val="Seitenzahl"/>
        <w:rFonts w:asciiTheme="minorHAnsi" w:hAnsiTheme="minorHAnsi" w:cstheme="minorHAnsi"/>
        <w:noProof/>
        <w:sz w:val="16"/>
        <w:szCs w:val="16"/>
      </w:rPr>
      <w:t>1</w: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fldChar w:fldCharType="end"/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t>/</w: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fldChar w:fldCharType="begin"/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instrText xml:space="preserve"> numpages </w:instrTex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fldChar w:fldCharType="separate"/>
    </w:r>
    <w:r w:rsidR="002A44EA">
      <w:rPr>
        <w:rStyle w:val="Seitenzahl"/>
        <w:rFonts w:asciiTheme="minorHAnsi" w:hAnsiTheme="minorHAnsi" w:cstheme="minorHAnsi"/>
        <w:noProof/>
        <w:sz w:val="16"/>
        <w:szCs w:val="16"/>
      </w:rPr>
      <w:t>2</w:t>
    </w:r>
    <w:r w:rsidR="008B6A00" w:rsidRPr="00AA53CA">
      <w:rPr>
        <w:rStyle w:val="Seitenzahl"/>
        <w:rFonts w:asciiTheme="minorHAnsi" w:hAnsiTheme="minorHAnsi"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BAFE6" w14:textId="77777777" w:rsidR="00527B97" w:rsidRDefault="00527B97">
      <w:r>
        <w:separator/>
      </w:r>
    </w:p>
  </w:footnote>
  <w:footnote w:type="continuationSeparator" w:id="0">
    <w:p w14:paraId="169EDE18" w14:textId="77777777" w:rsidR="00527B97" w:rsidRDefault="00527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DA0F4" w14:textId="77777777" w:rsidR="00D355A3" w:rsidRPr="00023A5A" w:rsidRDefault="008B6A00" w:rsidP="00F4240C">
    <w:pPr>
      <w:overflowPunct w:val="0"/>
      <w:autoSpaceDE w:val="0"/>
      <w:autoSpaceDN w:val="0"/>
      <w:adjustRightInd w:val="0"/>
      <w:textAlignment w:val="baseline"/>
      <w:rPr>
        <w:rFonts w:ascii="Calibri" w:hAnsi="Calibri"/>
        <w:b/>
        <w:caps/>
        <w:color w:val="000000" w:themeColor="text1"/>
        <w:sz w:val="32"/>
        <w:szCs w:val="32"/>
      </w:rPr>
    </w:pPr>
    <w:r>
      <w:rPr>
        <w:noProof/>
        <w:color w:val="000000" w:themeColor="text1"/>
        <w:sz w:val="32"/>
        <w:szCs w:val="32"/>
      </w:rPr>
      <w:drawing>
        <wp:anchor distT="0" distB="0" distL="114300" distR="114300" simplePos="0" relativeHeight="251660288" behindDoc="0" locked="0" layoutInCell="1" allowOverlap="1" wp14:anchorId="1E15DF4A" wp14:editId="4823E7BC">
          <wp:simplePos x="0" y="0"/>
          <wp:positionH relativeFrom="margin">
            <wp:posOffset>5048885</wp:posOffset>
          </wp:positionH>
          <wp:positionV relativeFrom="margin">
            <wp:posOffset>-1232738</wp:posOffset>
          </wp:positionV>
          <wp:extent cx="1059180" cy="788670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ina Logo_ed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9180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240C" w:rsidRPr="00023A5A">
      <w:rPr>
        <w:rFonts w:ascii="Calibri" w:hAnsi="Calibri"/>
        <w:b/>
        <w:caps/>
        <w:color w:val="000000" w:themeColor="text1"/>
        <w:sz w:val="32"/>
        <w:szCs w:val="32"/>
      </w:rPr>
      <w:t>Montagerichtlinie</w:t>
    </w:r>
  </w:p>
  <w:p w14:paraId="14445DFA" w14:textId="4F997C0A" w:rsidR="0018286A" w:rsidRDefault="0020711A" w:rsidP="006E6DAA">
    <w:pPr>
      <w:overflowPunct w:val="0"/>
      <w:autoSpaceDE w:val="0"/>
      <w:autoSpaceDN w:val="0"/>
      <w:adjustRightInd w:val="0"/>
      <w:textAlignment w:val="baseline"/>
      <w:rPr>
        <w:rFonts w:ascii="Calibri" w:hAnsi="Calibri"/>
        <w:b/>
        <w:caps/>
        <w:color w:val="808080" w:themeColor="background1" w:themeShade="80"/>
        <w:sz w:val="32"/>
        <w:szCs w:val="32"/>
      </w:rPr>
    </w:pPr>
    <w:r>
      <w:rPr>
        <w:rFonts w:ascii="Calibri" w:hAnsi="Calibri"/>
        <w:b/>
        <w:caps/>
        <w:color w:val="808080" w:themeColor="background1" w:themeShade="80"/>
        <w:sz w:val="32"/>
        <w:szCs w:val="32"/>
      </w:rPr>
      <w:t>heiz-/kühl</w:t>
    </w:r>
    <w:r w:rsidR="004F73E5">
      <w:rPr>
        <w:rFonts w:ascii="Calibri" w:hAnsi="Calibri"/>
        <w:b/>
        <w:caps/>
        <w:color w:val="808080" w:themeColor="background1" w:themeShade="80"/>
        <w:sz w:val="32"/>
        <w:szCs w:val="32"/>
      </w:rPr>
      <w:t>WAND</w:t>
    </w:r>
    <w:r>
      <w:rPr>
        <w:rFonts w:ascii="Calibri" w:hAnsi="Calibri"/>
        <w:b/>
        <w:caps/>
        <w:color w:val="808080" w:themeColor="background1" w:themeShade="80"/>
        <w:sz w:val="32"/>
        <w:szCs w:val="32"/>
      </w:rPr>
      <w:t xml:space="preserve"> </w:t>
    </w:r>
  </w:p>
  <w:p w14:paraId="1DD5EF2E" w14:textId="4E386060" w:rsidR="0018286A" w:rsidRDefault="0018286A" w:rsidP="006E6DAA">
    <w:pPr>
      <w:overflowPunct w:val="0"/>
      <w:autoSpaceDE w:val="0"/>
      <w:autoSpaceDN w:val="0"/>
      <w:adjustRightInd w:val="0"/>
      <w:textAlignment w:val="baseline"/>
      <w:rPr>
        <w:rFonts w:ascii="Calibri" w:hAnsi="Calibri"/>
        <w:b/>
        <w:caps/>
        <w:color w:val="808080" w:themeColor="background1" w:themeShade="80"/>
        <w:sz w:val="32"/>
        <w:szCs w:val="32"/>
      </w:rPr>
    </w:pPr>
    <w:r>
      <w:rPr>
        <w:rFonts w:ascii="Calibri" w:hAnsi="Calibri"/>
        <w:b/>
        <w:caps/>
        <w:color w:val="808080" w:themeColor="background1" w:themeShade="80"/>
        <w:sz w:val="32"/>
        <w:szCs w:val="32"/>
      </w:rPr>
      <w:t>OPTIPANEL 15</w:t>
    </w:r>
    <w:r w:rsidR="0020711A">
      <w:rPr>
        <w:rFonts w:ascii="Calibri" w:hAnsi="Calibri"/>
        <w:b/>
        <w:caps/>
        <w:color w:val="808080" w:themeColor="background1" w:themeShade="80"/>
        <w:sz w:val="32"/>
        <w:szCs w:val="32"/>
      </w:rPr>
      <w:t xml:space="preserve"> </w:t>
    </w:r>
    <w:r w:rsidR="00486F2A">
      <w:rPr>
        <w:rFonts w:ascii="Calibri" w:hAnsi="Calibri"/>
        <w:b/>
        <w:caps/>
        <w:color w:val="808080" w:themeColor="background1" w:themeShade="80"/>
        <w:sz w:val="32"/>
        <w:szCs w:val="32"/>
      </w:rPr>
      <w:t>-</w:t>
    </w:r>
    <w:r>
      <w:rPr>
        <w:rFonts w:ascii="Calibri" w:hAnsi="Calibri"/>
        <w:b/>
        <w:caps/>
        <w:color w:val="808080" w:themeColor="background1" w:themeShade="80"/>
        <w:sz w:val="32"/>
        <w:szCs w:val="32"/>
      </w:rPr>
      <w:t xml:space="preserve"> </w:t>
    </w:r>
    <w:r w:rsidR="0020711A" w:rsidRPr="001D3EA6">
      <w:rPr>
        <w:rFonts w:ascii="Calibri" w:hAnsi="Calibri"/>
        <w:b/>
        <w:caps/>
        <w:color w:val="808080" w:themeColor="background1" w:themeShade="80"/>
        <w:sz w:val="32"/>
        <w:szCs w:val="32"/>
      </w:rPr>
      <w:t>ungelocht</w:t>
    </w:r>
    <w:r>
      <w:rPr>
        <w:rFonts w:ascii="Calibri" w:hAnsi="Calibri"/>
        <w:b/>
        <w:caps/>
        <w:color w:val="808080" w:themeColor="background1" w:themeShade="80"/>
        <w:sz w:val="32"/>
        <w:szCs w:val="32"/>
      </w:rPr>
      <w:t xml:space="preserve"> </w:t>
    </w:r>
  </w:p>
  <w:p w14:paraId="33457A66" w14:textId="77777777" w:rsidR="006E6DAA" w:rsidRDefault="0020711A" w:rsidP="006E6DAA">
    <w:pPr>
      <w:overflowPunct w:val="0"/>
      <w:autoSpaceDE w:val="0"/>
      <w:autoSpaceDN w:val="0"/>
      <w:adjustRightInd w:val="0"/>
      <w:textAlignment w:val="baseline"/>
      <w:rPr>
        <w:rFonts w:ascii="Calibri" w:hAnsi="Calibri"/>
        <w:b/>
        <w:caps/>
        <w:color w:val="808080" w:themeColor="background1" w:themeShade="80"/>
        <w:sz w:val="32"/>
        <w:szCs w:val="32"/>
      </w:rPr>
    </w:pPr>
    <w:r>
      <w:rPr>
        <w:rFonts w:ascii="Calibri" w:hAnsi="Calibri"/>
        <w:b/>
        <w:caps/>
        <w:color w:val="808080" w:themeColor="background1" w:themeShade="80"/>
        <w:sz w:val="32"/>
        <w:szCs w:val="32"/>
      </w:rPr>
      <w:t>mit integrierter kapillarrohrmatte</w:t>
    </w:r>
  </w:p>
  <w:p w14:paraId="0B7567DC" w14:textId="77777777" w:rsidR="000946ED" w:rsidRDefault="000946ED" w:rsidP="006E6DAA">
    <w:pPr>
      <w:overflowPunct w:val="0"/>
      <w:autoSpaceDE w:val="0"/>
      <w:autoSpaceDN w:val="0"/>
      <w:adjustRightInd w:val="0"/>
      <w:textAlignment w:val="baseline"/>
      <w:rPr>
        <w:rFonts w:ascii="Calibri" w:hAnsi="Calibri"/>
        <w:b/>
        <w:caps/>
        <w:color w:val="808080" w:themeColor="background1" w:themeShade="8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13CF"/>
    <w:multiLevelType w:val="hybridMultilevel"/>
    <w:tmpl w:val="5712A1F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5425"/>
    <w:multiLevelType w:val="hybridMultilevel"/>
    <w:tmpl w:val="F5F08140"/>
    <w:lvl w:ilvl="0" w:tplc="022A81D6">
      <w:start w:val="1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CB6B2E"/>
    <w:multiLevelType w:val="hybridMultilevel"/>
    <w:tmpl w:val="F418D6F6"/>
    <w:lvl w:ilvl="0" w:tplc="5956B164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AE12A4"/>
    <w:multiLevelType w:val="hybridMultilevel"/>
    <w:tmpl w:val="4176D2C0"/>
    <w:lvl w:ilvl="0" w:tplc="838AA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1B4EAB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0A7563"/>
    <w:multiLevelType w:val="hybridMultilevel"/>
    <w:tmpl w:val="58308920"/>
    <w:lvl w:ilvl="0" w:tplc="182CC40A">
      <w:start w:val="10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E600A"/>
    <w:multiLevelType w:val="hybridMultilevel"/>
    <w:tmpl w:val="54D4BBA0"/>
    <w:lvl w:ilvl="0" w:tplc="838AA98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23C442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9F"/>
    <w:rsid w:val="00001D6B"/>
    <w:rsid w:val="00005A4B"/>
    <w:rsid w:val="000105FB"/>
    <w:rsid w:val="00023A5A"/>
    <w:rsid w:val="000356A7"/>
    <w:rsid w:val="00037436"/>
    <w:rsid w:val="00070B75"/>
    <w:rsid w:val="000946ED"/>
    <w:rsid w:val="000F345B"/>
    <w:rsid w:val="00113BC3"/>
    <w:rsid w:val="001159B8"/>
    <w:rsid w:val="00140700"/>
    <w:rsid w:val="00144B35"/>
    <w:rsid w:val="00155DED"/>
    <w:rsid w:val="00162804"/>
    <w:rsid w:val="0018286A"/>
    <w:rsid w:val="001D3EA6"/>
    <w:rsid w:val="001D5874"/>
    <w:rsid w:val="001D65B7"/>
    <w:rsid w:val="001E09EC"/>
    <w:rsid w:val="001F369D"/>
    <w:rsid w:val="0020711A"/>
    <w:rsid w:val="00217736"/>
    <w:rsid w:val="00287003"/>
    <w:rsid w:val="002969E3"/>
    <w:rsid w:val="002A2E26"/>
    <w:rsid w:val="002A3D5D"/>
    <w:rsid w:val="002A44EA"/>
    <w:rsid w:val="002D19A4"/>
    <w:rsid w:val="002F31C6"/>
    <w:rsid w:val="003071C1"/>
    <w:rsid w:val="00350E40"/>
    <w:rsid w:val="00354E69"/>
    <w:rsid w:val="00365803"/>
    <w:rsid w:val="003707FA"/>
    <w:rsid w:val="00382D28"/>
    <w:rsid w:val="00383E38"/>
    <w:rsid w:val="0038753D"/>
    <w:rsid w:val="00390181"/>
    <w:rsid w:val="003E595D"/>
    <w:rsid w:val="004208F5"/>
    <w:rsid w:val="00453E9F"/>
    <w:rsid w:val="00454771"/>
    <w:rsid w:val="00486F2A"/>
    <w:rsid w:val="004D1419"/>
    <w:rsid w:val="004E2AC6"/>
    <w:rsid w:val="004F73E5"/>
    <w:rsid w:val="00527B97"/>
    <w:rsid w:val="005428BD"/>
    <w:rsid w:val="00542CA6"/>
    <w:rsid w:val="00544285"/>
    <w:rsid w:val="005576BA"/>
    <w:rsid w:val="0056328E"/>
    <w:rsid w:val="005749A0"/>
    <w:rsid w:val="005E1060"/>
    <w:rsid w:val="005E1DC5"/>
    <w:rsid w:val="006551EF"/>
    <w:rsid w:val="006E6DAA"/>
    <w:rsid w:val="00776216"/>
    <w:rsid w:val="00792097"/>
    <w:rsid w:val="007C5568"/>
    <w:rsid w:val="007D3518"/>
    <w:rsid w:val="007E4E8E"/>
    <w:rsid w:val="007F7104"/>
    <w:rsid w:val="00801A1A"/>
    <w:rsid w:val="00812032"/>
    <w:rsid w:val="00812B01"/>
    <w:rsid w:val="00820E50"/>
    <w:rsid w:val="00824D3C"/>
    <w:rsid w:val="00844001"/>
    <w:rsid w:val="008747D1"/>
    <w:rsid w:val="00894FFE"/>
    <w:rsid w:val="00897530"/>
    <w:rsid w:val="008A42A7"/>
    <w:rsid w:val="008B6A00"/>
    <w:rsid w:val="008C3650"/>
    <w:rsid w:val="008C6082"/>
    <w:rsid w:val="009065BE"/>
    <w:rsid w:val="00922278"/>
    <w:rsid w:val="00983435"/>
    <w:rsid w:val="009922E9"/>
    <w:rsid w:val="009C6E2B"/>
    <w:rsid w:val="00A02CEC"/>
    <w:rsid w:val="00A36C90"/>
    <w:rsid w:val="00A9086B"/>
    <w:rsid w:val="00AA4EB5"/>
    <w:rsid w:val="00AA53CA"/>
    <w:rsid w:val="00AD2192"/>
    <w:rsid w:val="00AE3A8B"/>
    <w:rsid w:val="00AF2E11"/>
    <w:rsid w:val="00B31083"/>
    <w:rsid w:val="00B64308"/>
    <w:rsid w:val="00B84DC2"/>
    <w:rsid w:val="00B97B8C"/>
    <w:rsid w:val="00BC7491"/>
    <w:rsid w:val="00BD0095"/>
    <w:rsid w:val="00C228A7"/>
    <w:rsid w:val="00C95B20"/>
    <w:rsid w:val="00CD6DCD"/>
    <w:rsid w:val="00D02BE0"/>
    <w:rsid w:val="00D05E46"/>
    <w:rsid w:val="00D33B4A"/>
    <w:rsid w:val="00D355A3"/>
    <w:rsid w:val="00D405D2"/>
    <w:rsid w:val="00D524E8"/>
    <w:rsid w:val="00DA48DE"/>
    <w:rsid w:val="00DA4EFF"/>
    <w:rsid w:val="00E20FAD"/>
    <w:rsid w:val="00E311C3"/>
    <w:rsid w:val="00E44A85"/>
    <w:rsid w:val="00E45951"/>
    <w:rsid w:val="00E50ECB"/>
    <w:rsid w:val="00E54FE7"/>
    <w:rsid w:val="00E57EDE"/>
    <w:rsid w:val="00E65FB3"/>
    <w:rsid w:val="00E748D7"/>
    <w:rsid w:val="00E97229"/>
    <w:rsid w:val="00EA1072"/>
    <w:rsid w:val="00EA18D2"/>
    <w:rsid w:val="00EA76DD"/>
    <w:rsid w:val="00ED4AD3"/>
    <w:rsid w:val="00EF18D5"/>
    <w:rsid w:val="00F312B1"/>
    <w:rsid w:val="00F4240C"/>
    <w:rsid w:val="00F84547"/>
    <w:rsid w:val="00FC6B63"/>
    <w:rsid w:val="00FE2CF2"/>
    <w:rsid w:val="00FF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D034FA0"/>
  <w15:docId w15:val="{BC1BB16F-BCCD-43C1-B1D9-181CB942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ind w:left="1418" w:hanging="1418"/>
      <w:jc w:val="both"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A10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10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1C6"/>
    <w:pPr>
      <w:ind w:left="720"/>
      <w:contextualSpacing/>
    </w:pPr>
  </w:style>
  <w:style w:type="character" w:styleId="Seitenzahl">
    <w:name w:val="page number"/>
    <w:basedOn w:val="Absatz-Standardschriftart"/>
    <w:semiHidden/>
    <w:unhideWhenUsed/>
    <w:rsid w:val="00542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Montagerichtlinien</vt:lpstr>
    </vt:vector>
  </TitlesOfParts>
  <Company>ClinaX GmbH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Montagerichtlinien</dc:title>
  <dc:creator>Kresse</dc:creator>
  <cp:lastModifiedBy>Simone Geue</cp:lastModifiedBy>
  <cp:revision>5</cp:revision>
  <cp:lastPrinted>2021-08-09T09:25:00Z</cp:lastPrinted>
  <dcterms:created xsi:type="dcterms:W3CDTF">2021-08-06T07:11:00Z</dcterms:created>
  <dcterms:modified xsi:type="dcterms:W3CDTF">2021-08-09T09:27:00Z</dcterms:modified>
</cp:coreProperties>
</file>